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6830" w14:textId="54E249ED" w:rsidR="007A4594" w:rsidRPr="003639B5" w:rsidRDefault="007A4594" w:rsidP="007A4594">
      <w:pPr>
        <w:pStyle w:val="CRCoverPage"/>
        <w:tabs>
          <w:tab w:val="right" w:pos="9360"/>
        </w:tabs>
        <w:spacing w:after="0" w:line="276" w:lineRule="auto"/>
        <w:rPr>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5bis</w:t>
      </w:r>
      <w:r>
        <w:tab/>
      </w:r>
      <w:r w:rsidRPr="00881346">
        <w:rPr>
          <w:b/>
          <w:bCs/>
          <w:noProof/>
          <w:sz w:val="28"/>
          <w:szCs w:val="28"/>
        </w:rPr>
        <w:t>R</w:t>
      </w:r>
      <w:r>
        <w:rPr>
          <w:b/>
          <w:bCs/>
          <w:noProof/>
          <w:sz w:val="28"/>
          <w:szCs w:val="28"/>
        </w:rPr>
        <w:t>3</w:t>
      </w:r>
      <w:r w:rsidRPr="00881346">
        <w:rPr>
          <w:b/>
          <w:bCs/>
          <w:noProof/>
          <w:sz w:val="28"/>
          <w:szCs w:val="28"/>
        </w:rPr>
        <w:t>-2</w:t>
      </w:r>
      <w:r>
        <w:rPr>
          <w:b/>
          <w:bCs/>
          <w:noProof/>
          <w:sz w:val="28"/>
          <w:szCs w:val="28"/>
        </w:rPr>
        <w:t>4</w:t>
      </w:r>
      <w:r w:rsidR="00DB7667">
        <w:rPr>
          <w:b/>
          <w:bCs/>
          <w:noProof/>
          <w:sz w:val="28"/>
          <w:szCs w:val="28"/>
        </w:rPr>
        <w:t>5337</w:t>
      </w:r>
    </w:p>
    <w:p w14:paraId="4DECA56B" w14:textId="77777777" w:rsidR="007A4594" w:rsidRDefault="007A4594" w:rsidP="007A4594">
      <w:pPr>
        <w:widowControl w:val="0"/>
        <w:tabs>
          <w:tab w:val="right" w:pos="9639"/>
        </w:tabs>
        <w:spacing w:after="0"/>
        <w:rPr>
          <w:rFonts w:ascii="Arial" w:hAnsi="Arial"/>
          <w:b/>
          <w:bCs/>
          <w:noProof/>
          <w:sz w:val="24"/>
          <w:szCs w:val="24"/>
        </w:rPr>
      </w:pPr>
      <w:r>
        <w:rPr>
          <w:rFonts w:ascii="Arial" w:hAnsi="Arial"/>
          <w:b/>
          <w:bCs/>
          <w:noProof/>
          <w:sz w:val="24"/>
          <w:szCs w:val="24"/>
        </w:rPr>
        <w:t>Hefei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w:t>
      </w:r>
      <w:r w:rsidRPr="00BC0966">
        <w:rPr>
          <w:rFonts w:ascii="Arial" w:hAnsi="Arial"/>
          <w:b/>
          <w:bCs/>
          <w:noProof/>
          <w:sz w:val="24"/>
          <w:szCs w:val="24"/>
          <w:vertAlign w:val="superscript"/>
        </w:rPr>
        <w:t>th</w:t>
      </w:r>
      <w:r>
        <w:rPr>
          <w:rFonts w:ascii="Arial" w:hAnsi="Arial"/>
          <w:b/>
          <w:bCs/>
          <w:noProof/>
          <w:sz w:val="24"/>
          <w:szCs w:val="24"/>
        </w:rPr>
        <w:t xml:space="preserve"> – 18</w:t>
      </w:r>
      <w:r w:rsidRPr="00BC096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4</w:t>
      </w:r>
    </w:p>
    <w:p w14:paraId="0A92EB9E" w14:textId="77777777" w:rsidR="007A4594" w:rsidRPr="00C36EF0" w:rsidRDefault="007A4594" w:rsidP="007A459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4165B589" w14:textId="3113C0D2" w:rsidR="007A4594" w:rsidRPr="00C36EF0" w:rsidRDefault="007A4594" w:rsidP="007A4594">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w:t>
      </w:r>
      <w:r w:rsidR="00692ED8">
        <w:rPr>
          <w:rFonts w:asciiTheme="minorHAnsi" w:eastAsia="MS Mincho" w:hAnsiTheme="minorHAnsi" w:cstheme="minorHAnsi"/>
          <w:b/>
          <w:bCs/>
          <w:sz w:val="22"/>
          <w:szCs w:val="22"/>
        </w:rPr>
        <w:t>4</w:t>
      </w:r>
    </w:p>
    <w:p w14:paraId="75F217E4" w14:textId="77777777" w:rsidR="007A4594" w:rsidRPr="00C36EF0" w:rsidRDefault="007A4594" w:rsidP="007A4594">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638B7ED6" w14:textId="5544B672"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692ED8">
        <w:rPr>
          <w:rFonts w:asciiTheme="minorHAnsi" w:eastAsia="Times New Roman" w:hAnsiTheme="minorHAnsi" w:cstheme="minorHAnsi"/>
          <w:b/>
          <w:bCs/>
          <w:sz w:val="22"/>
          <w:szCs w:val="22"/>
        </w:rPr>
        <w:t>UHI enhancements for SCG (de) activation</w:t>
      </w:r>
    </w:p>
    <w:p w14:paraId="798DBF11"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4DE7DB86" w14:textId="77777777" w:rsidR="007A4594" w:rsidRPr="0059436F"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52DD7055" w14:textId="36818484" w:rsidR="007A4594" w:rsidRDefault="007A4594" w:rsidP="007A4594">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 xml:space="preserve">discuss aspects related to </w:t>
      </w:r>
      <w:r w:rsidR="00692ED8">
        <w:rPr>
          <w:rFonts w:asciiTheme="minorHAnsi" w:hAnsiTheme="minorHAnsi" w:cstheme="minorHAnsi"/>
          <w:iCs/>
          <w:sz w:val="22"/>
          <w:szCs w:val="22"/>
        </w:rPr>
        <w:t>UHI enhancements for SCG (de)activation.</w:t>
      </w:r>
    </w:p>
    <w:p w14:paraId="142B3FC1"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5A397E8B" w14:textId="730670E1" w:rsidR="007A4594" w:rsidRPr="00884254" w:rsidRDefault="00F72B2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RAN2 incoming LS</w:t>
      </w:r>
    </w:p>
    <w:p w14:paraId="72C34A3B" w14:textId="73CF0085" w:rsidR="007A4594" w:rsidRDefault="00F72B24"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RAN2 sent a LS in R2-245009 as shown below:</w:t>
      </w:r>
    </w:p>
    <w:p w14:paraId="04B7D06C" w14:textId="77777777" w:rsidR="00F72B24" w:rsidRDefault="00F72B24" w:rsidP="007A4594">
      <w:pPr>
        <w:pStyle w:val="NormalWeb"/>
        <w:spacing w:before="0" w:beforeAutospacing="0" w:after="0" w:afterAutospacing="0"/>
        <w:rPr>
          <w:rFonts w:ascii="Calibri" w:hAnsi="Calibri" w:cs="Calibri"/>
          <w:sz w:val="22"/>
          <w:szCs w:val="22"/>
        </w:rPr>
      </w:pPr>
    </w:p>
    <w:p w14:paraId="6AA95D1E" w14:textId="77777777" w:rsidR="00F72B24" w:rsidRPr="00F77EDB" w:rsidRDefault="00F72B24" w:rsidP="005F6D30">
      <w:pPr>
        <w:spacing w:after="120"/>
        <w:ind w:left="720"/>
        <w:jc w:val="both"/>
        <w:rPr>
          <w:rFonts w:ascii="Arial" w:eastAsia="DengXian" w:hAnsi="Arial" w:cs="Arial"/>
          <w:lang w:eastAsia="zh-CN"/>
        </w:rPr>
      </w:pPr>
      <w:r>
        <w:rPr>
          <w:rFonts w:ascii="Arial" w:hAnsi="Arial" w:cs="Arial" w:hint="eastAsia"/>
          <w:lang w:eastAsia="zh-CN"/>
        </w:rPr>
        <w:t xml:space="preserve">RAN2 </w:t>
      </w:r>
      <w:r w:rsidRPr="00F77EDB">
        <w:rPr>
          <w:rFonts w:ascii="Arial" w:eastAsia="DengXian" w:hAnsi="Arial" w:cs="Arial"/>
          <w:lang w:eastAsia="zh-CN"/>
        </w:rPr>
        <w:t>agreed</w:t>
      </w:r>
      <w:r>
        <w:rPr>
          <w:rFonts w:ascii="Arial" w:eastAsia="DengXian" w:hAnsi="Arial" w:cs="Arial" w:hint="eastAsia"/>
          <w:lang w:eastAsia="zh-CN"/>
        </w:rPr>
        <w:t xml:space="preserve"> </w:t>
      </w:r>
      <w:r>
        <w:rPr>
          <w:rFonts w:ascii="Arial" w:eastAsia="DengXian" w:hAnsi="Arial" w:cs="Arial"/>
          <w:lang w:eastAsia="zh-CN"/>
        </w:rPr>
        <w:t>that</w:t>
      </w:r>
      <w:r>
        <w:rPr>
          <w:rFonts w:ascii="Arial" w:eastAsia="DengXian" w:hAnsi="Arial" w:cs="Arial" w:hint="eastAsia"/>
          <w:lang w:eastAsia="zh-CN"/>
        </w:rPr>
        <w:t xml:space="preserve"> </w:t>
      </w:r>
      <w:r w:rsidRPr="00F77EDB">
        <w:rPr>
          <w:rFonts w:ascii="Arial" w:eastAsia="DengXian" w:hAnsi="Arial" w:cs="Arial" w:hint="eastAsia"/>
          <w:lang w:eastAsia="zh-CN"/>
        </w:rPr>
        <w:t>i</w:t>
      </w:r>
      <w:r w:rsidRPr="00F77EDB">
        <w:rPr>
          <w:rFonts w:ascii="Arial" w:eastAsia="DengXian" w:hAnsi="Arial" w:cs="Arial"/>
          <w:lang w:eastAsia="zh-CN"/>
        </w:rPr>
        <w:t xml:space="preserve">t is beneficial for the network to have information about time spent in the </w:t>
      </w:r>
      <w:proofErr w:type="spellStart"/>
      <w:r w:rsidRPr="00F77EDB">
        <w:rPr>
          <w:rFonts w:ascii="Arial" w:eastAsia="DengXian" w:hAnsi="Arial" w:cs="Arial"/>
          <w:lang w:eastAsia="zh-CN"/>
        </w:rPr>
        <w:t>PSCell</w:t>
      </w:r>
      <w:proofErr w:type="spellEnd"/>
      <w:r w:rsidRPr="00F77EDB">
        <w:rPr>
          <w:rFonts w:ascii="Arial" w:eastAsia="DengXian" w:hAnsi="Arial" w:cs="Arial"/>
          <w:lang w:eastAsia="zh-CN"/>
        </w:rPr>
        <w:t xml:space="preserve"> in activated state vs. deactivated state</w:t>
      </w:r>
      <w:r>
        <w:rPr>
          <w:rFonts w:ascii="Arial" w:eastAsia="DengXian" w:hAnsi="Arial" w:cs="Arial" w:hint="eastAsia"/>
          <w:lang w:eastAsia="zh-CN"/>
        </w:rPr>
        <w:t>:</w:t>
      </w:r>
    </w:p>
    <w:tbl>
      <w:tblPr>
        <w:tblStyle w:val="TableGrid"/>
        <w:tblW w:w="9350" w:type="dxa"/>
        <w:tblInd w:w="720" w:type="dxa"/>
        <w:tblLook w:val="04A0" w:firstRow="1" w:lastRow="0" w:firstColumn="1" w:lastColumn="0" w:noHBand="0" w:noVBand="1"/>
      </w:tblPr>
      <w:tblGrid>
        <w:gridCol w:w="9350"/>
      </w:tblGrid>
      <w:tr w:rsidR="00F72B24" w14:paraId="5142FE5F" w14:textId="77777777" w:rsidTr="005F6D30">
        <w:tc>
          <w:tcPr>
            <w:tcW w:w="9350" w:type="dxa"/>
          </w:tcPr>
          <w:p w14:paraId="7E66409B" w14:textId="77777777" w:rsidR="00F72B24" w:rsidRDefault="00F72B24" w:rsidP="00CC7E69">
            <w:pPr>
              <w:pStyle w:val="Agreement"/>
              <w:numPr>
                <w:ilvl w:val="0"/>
                <w:numId w:val="0"/>
              </w:numPr>
              <w:rPr>
                <w:highlight w:val="yellow"/>
                <w:lang w:eastAsia="en-US"/>
              </w:rPr>
            </w:pPr>
            <w:r>
              <w:rPr>
                <w:rFonts w:hint="eastAsia"/>
                <w:lang w:eastAsia="zh-TW"/>
              </w:rPr>
              <w:t>RAN</w:t>
            </w:r>
            <w:r>
              <w:rPr>
                <w:lang w:val="en-US"/>
              </w:rPr>
              <w:t>2#127:</w:t>
            </w:r>
          </w:p>
          <w:p w14:paraId="33C96C0D" w14:textId="77777777" w:rsidR="00F72B24" w:rsidRPr="008440C2" w:rsidRDefault="00F72B24" w:rsidP="00F72B24">
            <w:pPr>
              <w:pStyle w:val="Agreement"/>
              <w:tabs>
                <w:tab w:val="clear" w:pos="360"/>
                <w:tab w:val="num" w:pos="1619"/>
              </w:tabs>
              <w:ind w:left="1619"/>
              <w:rPr>
                <w:lang w:eastAsia="en-US"/>
              </w:rPr>
            </w:pPr>
            <w:r>
              <w:rPr>
                <w:rFonts w:eastAsia="SimSun"/>
                <w:bCs/>
                <w:szCs w:val="20"/>
                <w:lang w:eastAsia="zh-CN"/>
              </w:rPr>
              <w:t xml:space="preserve">It is beneficial for the network to have information about </w:t>
            </w:r>
            <w:r w:rsidRPr="008E4C6A">
              <w:rPr>
                <w:rFonts w:eastAsia="SimSun"/>
                <w:bCs/>
                <w:szCs w:val="20"/>
                <w:lang w:eastAsia="zh-CN"/>
              </w:rPr>
              <w:t xml:space="preserve">time spent in the </w:t>
            </w:r>
            <w:proofErr w:type="spellStart"/>
            <w:r w:rsidRPr="008E4C6A">
              <w:rPr>
                <w:rFonts w:eastAsia="SimSun"/>
                <w:bCs/>
                <w:szCs w:val="20"/>
                <w:lang w:eastAsia="zh-CN"/>
              </w:rPr>
              <w:t>PSCell</w:t>
            </w:r>
            <w:proofErr w:type="spellEnd"/>
            <w:r w:rsidRPr="008E4C6A">
              <w:rPr>
                <w:rFonts w:eastAsia="SimSun"/>
                <w:bCs/>
                <w:szCs w:val="20"/>
                <w:lang w:eastAsia="zh-CN"/>
              </w:rPr>
              <w:t xml:space="preserve"> in activated state </w:t>
            </w:r>
            <w:r>
              <w:rPr>
                <w:rFonts w:eastAsia="SimSun"/>
                <w:bCs/>
                <w:szCs w:val="20"/>
                <w:lang w:eastAsia="zh-CN"/>
              </w:rPr>
              <w:t>vs.</w:t>
            </w:r>
            <w:r w:rsidRPr="008E4C6A">
              <w:rPr>
                <w:rFonts w:eastAsia="SimSun"/>
                <w:bCs/>
                <w:szCs w:val="20"/>
                <w:lang w:eastAsia="zh-CN"/>
              </w:rPr>
              <w:t xml:space="preserve"> deactivated state</w:t>
            </w:r>
            <w:r w:rsidRPr="00733A0D">
              <w:rPr>
                <w:lang w:eastAsia="zh-CN"/>
              </w:rPr>
              <w:t>.</w:t>
            </w:r>
          </w:p>
        </w:tc>
      </w:tr>
    </w:tbl>
    <w:p w14:paraId="12255F93" w14:textId="77777777" w:rsidR="00F72B24" w:rsidRDefault="00F72B24" w:rsidP="005F6D30">
      <w:pPr>
        <w:ind w:left="720"/>
        <w:rPr>
          <w:rFonts w:ascii="Arial" w:hAnsi="Arial" w:cs="Arial"/>
          <w:lang w:eastAsia="zh-CN"/>
        </w:rPr>
      </w:pPr>
    </w:p>
    <w:p w14:paraId="3ED054CE" w14:textId="77777777" w:rsidR="00F72B24" w:rsidRDefault="00F72B24" w:rsidP="005F6D30">
      <w:pPr>
        <w:ind w:left="720"/>
        <w:rPr>
          <w:rFonts w:ascii="Arial" w:hAnsi="Arial" w:cs="Arial"/>
          <w:lang w:eastAsia="zh-CN"/>
        </w:rPr>
      </w:pPr>
      <w:r>
        <w:rPr>
          <w:rFonts w:ascii="Arial" w:hAnsi="Arial" w:cs="Arial"/>
          <w:lang w:eastAsia="zh-CN"/>
        </w:rPr>
        <w:t xml:space="preserve">For how to collect the time spent information, </w:t>
      </w:r>
      <w:r>
        <w:rPr>
          <w:rFonts w:ascii="Arial" w:hAnsi="Arial" w:cs="Arial" w:hint="eastAsia"/>
          <w:lang w:eastAsia="zh-CN"/>
        </w:rPr>
        <w:t xml:space="preserve">there are following </w:t>
      </w:r>
      <w:r>
        <w:rPr>
          <w:rFonts w:ascii="Arial" w:hAnsi="Arial" w:cs="Arial"/>
          <w:lang w:eastAsia="zh-CN"/>
        </w:rPr>
        <w:t>two options:</w:t>
      </w:r>
    </w:p>
    <w:p w14:paraId="59524AD6" w14:textId="77777777" w:rsidR="00F72B24" w:rsidRPr="00D823EE" w:rsidRDefault="00F72B24" w:rsidP="005F6D30">
      <w:pPr>
        <w:ind w:left="720"/>
        <w:jc w:val="both"/>
        <w:rPr>
          <w:rFonts w:ascii="Arial" w:hAnsi="Arial" w:cs="Arial"/>
          <w:lang w:eastAsia="zh-CN"/>
        </w:rPr>
      </w:pPr>
      <w:r>
        <w:rPr>
          <w:rFonts w:ascii="Arial" w:hAnsi="Arial" w:cs="Arial" w:hint="eastAsia"/>
          <w:lang w:eastAsia="zh-CN"/>
        </w:rPr>
        <w:t>O</w:t>
      </w:r>
      <w:r>
        <w:rPr>
          <w:rFonts w:ascii="Arial" w:hAnsi="Arial" w:cs="Arial"/>
          <w:lang w:eastAsia="zh-CN"/>
        </w:rPr>
        <w:t xml:space="preserve">ption 1: Network based solution: The network collects the information about time spent in the </w:t>
      </w:r>
      <w:proofErr w:type="spellStart"/>
      <w:r>
        <w:rPr>
          <w:rFonts w:ascii="Arial" w:hAnsi="Arial" w:cs="Arial"/>
          <w:lang w:eastAsia="zh-CN"/>
        </w:rPr>
        <w:t>PSCell</w:t>
      </w:r>
      <w:proofErr w:type="spellEnd"/>
      <w:r>
        <w:rPr>
          <w:rFonts w:ascii="Arial" w:hAnsi="Arial" w:cs="Arial"/>
          <w:lang w:eastAsia="zh-CN"/>
        </w:rPr>
        <w:t xml:space="preserve"> in </w:t>
      </w:r>
      <w:r w:rsidRPr="000700B4">
        <w:rPr>
          <w:rFonts w:ascii="Arial" w:hAnsi="Arial" w:cs="Arial"/>
          <w:lang w:eastAsia="zh-CN"/>
        </w:rPr>
        <w:t>activated</w:t>
      </w:r>
      <w:r>
        <w:rPr>
          <w:rFonts w:ascii="Arial" w:hAnsi="Arial" w:cs="Arial"/>
          <w:lang w:eastAsia="zh-CN"/>
        </w:rPr>
        <w:t xml:space="preserve"> or deactivated state</w:t>
      </w:r>
      <w:r w:rsidRPr="00FB54B1">
        <w:rPr>
          <w:rFonts w:ascii="Arial" w:hAnsi="Arial" w:cs="Arial"/>
          <w:lang w:eastAsia="zh-CN"/>
        </w:rPr>
        <w:t>.</w:t>
      </w:r>
    </w:p>
    <w:p w14:paraId="450DD214" w14:textId="77777777" w:rsidR="00F72B24" w:rsidRDefault="00F72B24" w:rsidP="005F6D30">
      <w:pPr>
        <w:ind w:left="720"/>
        <w:jc w:val="both"/>
        <w:rPr>
          <w:rFonts w:ascii="Arial" w:hAnsi="Arial" w:cs="Arial"/>
          <w:lang w:eastAsia="zh-CN"/>
        </w:rPr>
      </w:pPr>
      <w:r>
        <w:rPr>
          <w:rFonts w:ascii="Arial" w:hAnsi="Arial" w:cs="Arial"/>
          <w:lang w:eastAsia="zh-CN"/>
        </w:rPr>
        <w:t xml:space="preserve">Option 2: UE based solution: The </w:t>
      </w:r>
      <w:r w:rsidRPr="00FB54B1">
        <w:rPr>
          <w:rFonts w:ascii="Arial" w:hAnsi="Arial" w:cs="Arial"/>
          <w:lang w:eastAsia="zh-CN"/>
        </w:rPr>
        <w:t>UE</w:t>
      </w:r>
      <w:r>
        <w:rPr>
          <w:rFonts w:ascii="Arial" w:hAnsi="Arial" w:cs="Arial"/>
          <w:lang w:eastAsia="zh-CN"/>
        </w:rPr>
        <w:t xml:space="preserve"> includes</w:t>
      </w:r>
      <w:r w:rsidRPr="00FB54B1">
        <w:rPr>
          <w:rFonts w:ascii="Arial" w:hAnsi="Arial" w:cs="Arial"/>
          <w:lang w:eastAsia="zh-CN"/>
        </w:rPr>
        <w:t xml:space="preserve"> </w:t>
      </w:r>
      <w:r>
        <w:rPr>
          <w:rFonts w:ascii="Arial" w:hAnsi="Arial" w:cs="Arial"/>
          <w:lang w:eastAsia="zh-CN"/>
        </w:rPr>
        <w:t xml:space="preserve">the information about time spent in the </w:t>
      </w:r>
      <w:proofErr w:type="spellStart"/>
      <w:r>
        <w:rPr>
          <w:rFonts w:ascii="Arial" w:hAnsi="Arial" w:cs="Arial"/>
          <w:lang w:eastAsia="zh-CN"/>
        </w:rPr>
        <w:t>PSCell</w:t>
      </w:r>
      <w:proofErr w:type="spellEnd"/>
      <w:r>
        <w:rPr>
          <w:rFonts w:ascii="Arial" w:hAnsi="Arial" w:cs="Arial"/>
          <w:lang w:eastAsia="zh-CN"/>
        </w:rPr>
        <w:t xml:space="preserve"> in </w:t>
      </w:r>
      <w:r w:rsidRPr="000700B4">
        <w:rPr>
          <w:rFonts w:ascii="Arial" w:hAnsi="Arial" w:cs="Arial"/>
          <w:lang w:eastAsia="zh-CN"/>
        </w:rPr>
        <w:t>activated</w:t>
      </w:r>
      <w:r>
        <w:rPr>
          <w:rFonts w:ascii="Arial" w:hAnsi="Arial" w:cs="Arial"/>
          <w:lang w:eastAsia="zh-CN"/>
        </w:rPr>
        <w:t xml:space="preserve"> vs deactivated state in MHI (</w:t>
      </w:r>
      <w:r w:rsidRPr="007F3D41">
        <w:rPr>
          <w:rFonts w:ascii="Arial" w:hAnsi="Arial" w:cs="Arial"/>
          <w:lang w:eastAsia="zh-CN"/>
        </w:rPr>
        <w:t>Mobility History Information</w:t>
      </w:r>
      <w:r>
        <w:rPr>
          <w:rFonts w:ascii="Arial" w:hAnsi="Arial" w:cs="Arial"/>
          <w:lang w:eastAsia="zh-CN"/>
        </w:rPr>
        <w:t>)</w:t>
      </w:r>
      <w:r w:rsidRPr="00FB54B1">
        <w:rPr>
          <w:rFonts w:ascii="Arial" w:hAnsi="Arial" w:cs="Arial"/>
          <w:lang w:eastAsia="zh-CN"/>
        </w:rPr>
        <w:t>.</w:t>
      </w:r>
    </w:p>
    <w:p w14:paraId="3E41170B" w14:textId="77777777" w:rsidR="00F72B24" w:rsidRDefault="00F72B24" w:rsidP="005F6D30">
      <w:pPr>
        <w:ind w:left="720"/>
        <w:jc w:val="both"/>
        <w:rPr>
          <w:rFonts w:ascii="Arial" w:hAnsi="Arial" w:cs="Arial"/>
        </w:rPr>
      </w:pPr>
      <w:r>
        <w:rPr>
          <w:rFonts w:ascii="Arial" w:hAnsi="Arial" w:cs="Arial"/>
          <w:lang w:eastAsia="zh-CN"/>
        </w:rPr>
        <w:t xml:space="preserve">RAN2 kindly asks RAN3 to analyse whether Network based solution is </w:t>
      </w:r>
      <w:proofErr w:type="gramStart"/>
      <w:r>
        <w:rPr>
          <w:rFonts w:ascii="Arial" w:hAnsi="Arial" w:cs="Arial"/>
          <w:lang w:eastAsia="zh-CN"/>
        </w:rPr>
        <w:t>sufficient enough</w:t>
      </w:r>
      <w:proofErr w:type="gramEnd"/>
      <w:r>
        <w:rPr>
          <w:rFonts w:ascii="Arial" w:hAnsi="Arial" w:cs="Arial"/>
          <w:lang w:eastAsia="zh-CN"/>
        </w:rPr>
        <w:t xml:space="preserve"> for network optimization, or whether a UE based solution is needed.</w:t>
      </w:r>
    </w:p>
    <w:p w14:paraId="7E8C6270" w14:textId="77777777" w:rsidR="00F72B24" w:rsidRDefault="00F72B24" w:rsidP="007A4594">
      <w:pPr>
        <w:pStyle w:val="NormalWeb"/>
        <w:spacing w:before="0" w:beforeAutospacing="0" w:after="0" w:afterAutospacing="0"/>
        <w:rPr>
          <w:rFonts w:ascii="Calibri" w:hAnsi="Calibri" w:cs="Calibri"/>
          <w:sz w:val="22"/>
          <w:szCs w:val="22"/>
        </w:rPr>
      </w:pPr>
    </w:p>
    <w:p w14:paraId="24F592EE" w14:textId="30563A61" w:rsidR="00941F5F" w:rsidRDefault="005F6D30" w:rsidP="00683BD4">
      <w:pPr>
        <w:pStyle w:val="Observation"/>
      </w:pPr>
      <w:bookmarkStart w:id="0" w:name="_Toc178770932"/>
      <w:bookmarkStart w:id="1" w:name="_Toc178793572"/>
      <w:r>
        <w:t>RAN</w:t>
      </w:r>
      <w:r w:rsidR="00683BD4">
        <w:t>2</w:t>
      </w:r>
      <w:r>
        <w:t xml:space="preserve"> sent an LS to RAN3 seeking </w:t>
      </w:r>
      <w:r w:rsidR="00683BD4">
        <w:t>views on whether a NW-</w:t>
      </w:r>
      <w:r w:rsidR="00683BD4" w:rsidRPr="00683BD4">
        <w:t xml:space="preserve">based solution is sufficient for </w:t>
      </w:r>
      <w:r w:rsidR="00683BD4">
        <w:t xml:space="preserve">SCG </w:t>
      </w:r>
      <w:r w:rsidR="00941F5F">
        <w:t>(</w:t>
      </w:r>
      <w:r w:rsidR="00941F5F" w:rsidRPr="00941F5F">
        <w:t>de) activation related optimization, or whether a UE based solution is needed.</w:t>
      </w:r>
      <w:bookmarkEnd w:id="0"/>
      <w:bookmarkEnd w:id="1"/>
    </w:p>
    <w:p w14:paraId="5F3DD57B" w14:textId="7FB9F2E2" w:rsidR="00683BD4" w:rsidRDefault="00683BD4" w:rsidP="00941F5F">
      <w:pPr>
        <w:pStyle w:val="Observation"/>
        <w:numPr>
          <w:ilvl w:val="0"/>
          <w:numId w:val="28"/>
        </w:numPr>
      </w:pPr>
      <w:bookmarkStart w:id="2" w:name="_Toc178770933"/>
      <w:bookmarkStart w:id="3" w:name="_Toc178793573"/>
      <w:r>
        <w:t xml:space="preserve">Option 1: </w:t>
      </w:r>
      <w:r w:rsidR="00941F5F">
        <w:t>NW-</w:t>
      </w:r>
      <w:r>
        <w:t xml:space="preserve">based solution: The network collects the information about time spent in the </w:t>
      </w:r>
      <w:proofErr w:type="spellStart"/>
      <w:r>
        <w:t>PSCell</w:t>
      </w:r>
      <w:proofErr w:type="spellEnd"/>
      <w:r>
        <w:t xml:space="preserve"> in activated or deactivated state.</w:t>
      </w:r>
      <w:bookmarkEnd w:id="2"/>
      <w:bookmarkEnd w:id="3"/>
    </w:p>
    <w:p w14:paraId="0E2F5D50" w14:textId="6F87758E" w:rsidR="005F6D30" w:rsidRDefault="00683BD4" w:rsidP="00941F5F">
      <w:pPr>
        <w:pStyle w:val="Observation"/>
        <w:numPr>
          <w:ilvl w:val="0"/>
          <w:numId w:val="28"/>
        </w:numPr>
      </w:pPr>
      <w:bookmarkStart w:id="4" w:name="_Toc178770934"/>
      <w:bookmarkStart w:id="5" w:name="_Toc178793574"/>
      <w:r>
        <w:t xml:space="preserve">Option 2: UE based solution: The UE includes the information about time spent in the </w:t>
      </w:r>
      <w:proofErr w:type="spellStart"/>
      <w:r>
        <w:t>PSCell</w:t>
      </w:r>
      <w:proofErr w:type="spellEnd"/>
      <w:r>
        <w:t xml:space="preserve"> in activated vs deactivated state in MHI (Mobility History Information).</w:t>
      </w:r>
      <w:bookmarkEnd w:id="4"/>
      <w:bookmarkEnd w:id="5"/>
    </w:p>
    <w:p w14:paraId="2B8A6CDE" w14:textId="77777777" w:rsidR="00941F5F" w:rsidRPr="00941F5F" w:rsidRDefault="00941F5F" w:rsidP="00941F5F"/>
    <w:p w14:paraId="76C2BDC7" w14:textId="1987C55E" w:rsidR="00F72B24" w:rsidRPr="00884254" w:rsidRDefault="00F72B24" w:rsidP="00F72B2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Network based solution vs. UE based solution</w:t>
      </w:r>
    </w:p>
    <w:p w14:paraId="7778F7AE" w14:textId="1DA7303B" w:rsidR="00F72B24" w:rsidRDefault="003D2658"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The following is from 37.340:</w:t>
      </w:r>
    </w:p>
    <w:p w14:paraId="73CB0D8C" w14:textId="77777777" w:rsidR="0088182F" w:rsidRDefault="0088182F" w:rsidP="003D2658">
      <w:pPr>
        <w:pStyle w:val="NormalWeb"/>
        <w:pBdr>
          <w:top w:val="single" w:sz="4" w:space="1" w:color="auto"/>
          <w:left w:val="single" w:sz="4" w:space="4" w:color="auto"/>
          <w:bottom w:val="single" w:sz="4" w:space="1" w:color="auto"/>
          <w:right w:val="single" w:sz="4" w:space="4" w:color="auto"/>
        </w:pBdr>
        <w:spacing w:after="0"/>
        <w:rPr>
          <w:rFonts w:ascii="Calibri" w:hAnsi="Calibri" w:cs="Calibri"/>
          <w:sz w:val="22"/>
          <w:szCs w:val="22"/>
          <w:lang w:val="en-GB"/>
        </w:rPr>
      </w:pPr>
      <w:r w:rsidRPr="0088182F">
        <w:rPr>
          <w:rFonts w:ascii="Calibri" w:hAnsi="Calibri" w:cs="Calibri"/>
          <w:sz w:val="22"/>
          <w:szCs w:val="22"/>
          <w:lang w:val="en-GB"/>
        </w:rPr>
        <w:lastRenderedPageBreak/>
        <w:t xml:space="preserve">The MN can configure the SCG as activated or deactivated upon e.g. </w:t>
      </w:r>
      <w:proofErr w:type="spellStart"/>
      <w:r w:rsidRPr="0088182F">
        <w:rPr>
          <w:rFonts w:ascii="Calibri" w:hAnsi="Calibri" w:cs="Calibri"/>
          <w:sz w:val="22"/>
          <w:szCs w:val="22"/>
          <w:lang w:val="en-GB"/>
        </w:rPr>
        <w:t>PSCell</w:t>
      </w:r>
      <w:proofErr w:type="spellEnd"/>
      <w:r w:rsidRPr="0088182F">
        <w:rPr>
          <w:rFonts w:ascii="Calibri" w:hAnsi="Calibri" w:cs="Calibri"/>
          <w:sz w:val="22"/>
          <w:szCs w:val="22"/>
          <w:lang w:val="en-GB"/>
        </w:rPr>
        <w:t xml:space="preserve"> addition, </w:t>
      </w:r>
      <w:proofErr w:type="spellStart"/>
      <w:r w:rsidRPr="0088182F">
        <w:rPr>
          <w:rFonts w:ascii="Calibri" w:hAnsi="Calibri" w:cs="Calibri"/>
          <w:sz w:val="22"/>
          <w:szCs w:val="22"/>
          <w:lang w:val="en-GB"/>
        </w:rPr>
        <w:t>PSCell</w:t>
      </w:r>
      <w:proofErr w:type="spellEnd"/>
      <w:r w:rsidRPr="0088182F">
        <w:rPr>
          <w:rFonts w:ascii="Calibri" w:hAnsi="Calibri" w:cs="Calibri"/>
          <w:sz w:val="22"/>
          <w:szCs w:val="22"/>
          <w:lang w:val="en-GB"/>
        </w:rPr>
        <w:t xml:space="preserve"> change, RRC Resume or handover. </w:t>
      </w:r>
    </w:p>
    <w:p w14:paraId="2A57FF98" w14:textId="77777777" w:rsidR="0088182F" w:rsidRDefault="0088182F" w:rsidP="003D2658">
      <w:pPr>
        <w:pStyle w:val="NormalWeb"/>
        <w:pBdr>
          <w:top w:val="single" w:sz="4" w:space="1" w:color="auto"/>
          <w:left w:val="single" w:sz="4" w:space="4" w:color="auto"/>
          <w:bottom w:val="single" w:sz="4" w:space="1" w:color="auto"/>
          <w:right w:val="single" w:sz="4" w:space="4" w:color="auto"/>
        </w:pBdr>
        <w:spacing w:after="0"/>
        <w:rPr>
          <w:rFonts w:ascii="Calibri" w:hAnsi="Calibri" w:cs="Calibri"/>
          <w:sz w:val="22"/>
          <w:szCs w:val="22"/>
          <w:lang w:val="en-GB"/>
        </w:rPr>
      </w:pPr>
      <w:r w:rsidRPr="0088182F">
        <w:rPr>
          <w:rFonts w:ascii="Calibri" w:hAnsi="Calibri" w:cs="Calibri"/>
          <w:sz w:val="22"/>
          <w:szCs w:val="22"/>
          <w:lang w:val="en-GB"/>
        </w:rPr>
        <w:t xml:space="preserve">SCG activation can be requested by the MN, by the SN and by the UE. </w:t>
      </w:r>
    </w:p>
    <w:p w14:paraId="33E2976E" w14:textId="77777777" w:rsidR="0088182F" w:rsidRDefault="0088182F" w:rsidP="003D2658">
      <w:pPr>
        <w:pStyle w:val="NormalWeb"/>
        <w:pBdr>
          <w:top w:val="single" w:sz="4" w:space="1" w:color="auto"/>
          <w:left w:val="single" w:sz="4" w:space="4" w:color="auto"/>
          <w:bottom w:val="single" w:sz="4" w:space="1" w:color="auto"/>
          <w:right w:val="single" w:sz="4" w:space="4" w:color="auto"/>
        </w:pBdr>
        <w:spacing w:after="0"/>
        <w:rPr>
          <w:rFonts w:ascii="Calibri" w:hAnsi="Calibri" w:cs="Calibri"/>
          <w:sz w:val="22"/>
          <w:szCs w:val="22"/>
          <w:lang w:val="en-GB"/>
        </w:rPr>
      </w:pPr>
      <w:r w:rsidRPr="0088182F">
        <w:rPr>
          <w:rFonts w:ascii="Calibri" w:hAnsi="Calibri" w:cs="Calibri"/>
          <w:sz w:val="22"/>
          <w:szCs w:val="22"/>
          <w:lang w:val="en-GB"/>
        </w:rPr>
        <w:t xml:space="preserve">SCG deactivation can be requested by the MN and by the SN. </w:t>
      </w:r>
    </w:p>
    <w:p w14:paraId="35218B5C" w14:textId="07531114" w:rsidR="00F72B24" w:rsidRDefault="003D2658"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Based on the above text, i</w:t>
      </w:r>
      <w:r w:rsidR="00F72B24">
        <w:rPr>
          <w:rFonts w:ascii="Calibri" w:hAnsi="Calibri" w:cs="Calibri"/>
          <w:sz w:val="22"/>
          <w:szCs w:val="22"/>
        </w:rPr>
        <w:t xml:space="preserve">n our view, MN has complete knowledge of when it </w:t>
      </w:r>
      <w:r>
        <w:rPr>
          <w:rFonts w:ascii="Calibri" w:hAnsi="Calibri" w:cs="Calibri"/>
          <w:sz w:val="22"/>
          <w:szCs w:val="22"/>
        </w:rPr>
        <w:t xml:space="preserve">activates or deactivates an SCG </w:t>
      </w:r>
      <w:r w:rsidR="00601210">
        <w:rPr>
          <w:rFonts w:ascii="Calibri" w:hAnsi="Calibri" w:cs="Calibri"/>
          <w:sz w:val="22"/>
          <w:szCs w:val="22"/>
        </w:rPr>
        <w:t xml:space="preserve">for the UE, </w:t>
      </w:r>
      <w:r>
        <w:rPr>
          <w:rFonts w:ascii="Calibri" w:hAnsi="Calibri" w:cs="Calibri"/>
          <w:sz w:val="22"/>
          <w:szCs w:val="22"/>
        </w:rPr>
        <w:t xml:space="preserve">can compute the time </w:t>
      </w:r>
      <w:r w:rsidR="00601210">
        <w:rPr>
          <w:rFonts w:ascii="Calibri" w:hAnsi="Calibri" w:cs="Calibri"/>
          <w:sz w:val="22"/>
          <w:szCs w:val="22"/>
        </w:rPr>
        <w:t>spent in activated or deactivated state and add it in the existing UHI.</w:t>
      </w:r>
    </w:p>
    <w:p w14:paraId="196F21B8" w14:textId="5EFBD94E" w:rsidR="0072365F" w:rsidRDefault="0072365F" w:rsidP="0072365F">
      <w:pPr>
        <w:pStyle w:val="Observation"/>
      </w:pPr>
      <w:bookmarkStart w:id="6" w:name="_Toc178770935"/>
      <w:bookmarkStart w:id="7" w:name="_Toc178793575"/>
      <w:r w:rsidRPr="0072365F">
        <w:t xml:space="preserve">MN </w:t>
      </w:r>
      <w:r>
        <w:t>always knows when an SCG is</w:t>
      </w:r>
      <w:r w:rsidRPr="0072365F">
        <w:t xml:space="preserve"> activate</w:t>
      </w:r>
      <w:r>
        <w:t>d</w:t>
      </w:r>
      <w:r w:rsidRPr="0072365F">
        <w:t xml:space="preserve"> or deactivate</w:t>
      </w:r>
      <w:r>
        <w:t>d</w:t>
      </w:r>
      <w:r w:rsidRPr="0072365F">
        <w:t xml:space="preserve"> </w:t>
      </w:r>
      <w:r>
        <w:t>for a</w:t>
      </w:r>
      <w:r w:rsidRPr="0072365F">
        <w:t xml:space="preserve"> UE</w:t>
      </w:r>
      <w:r w:rsidR="004C15FF">
        <w:t>, irrespective of whether the SCG (de)activation is MN or SN initiated.</w:t>
      </w:r>
      <w:bookmarkEnd w:id="6"/>
      <w:bookmarkEnd w:id="7"/>
    </w:p>
    <w:p w14:paraId="081C818B" w14:textId="77777777" w:rsidR="00601210" w:rsidRDefault="00601210" w:rsidP="007A4594">
      <w:pPr>
        <w:pStyle w:val="NormalWeb"/>
        <w:spacing w:before="0" w:beforeAutospacing="0" w:after="0" w:afterAutospacing="0"/>
        <w:rPr>
          <w:rFonts w:ascii="Calibri" w:hAnsi="Calibri" w:cs="Calibri"/>
          <w:sz w:val="22"/>
          <w:szCs w:val="22"/>
        </w:rPr>
      </w:pPr>
    </w:p>
    <w:p w14:paraId="2194499D" w14:textId="27F3AEC3" w:rsidR="008D32BE" w:rsidRDefault="008D32BE"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Also, the NW based solution has the benefits that it can enable the collection of this SCG (de)activation information from legacy UEs as well without the need to have a Rel-19 UE supporting this feature.</w:t>
      </w:r>
      <w:r w:rsidR="00240591">
        <w:rPr>
          <w:rFonts w:ascii="Calibri" w:hAnsi="Calibri" w:cs="Calibri"/>
          <w:sz w:val="22"/>
          <w:szCs w:val="22"/>
        </w:rPr>
        <w:t xml:space="preserve"> It</w:t>
      </w:r>
      <w:r w:rsidR="004C15FF">
        <w:rPr>
          <w:rFonts w:ascii="Calibri" w:hAnsi="Calibri" w:cs="Calibri"/>
          <w:sz w:val="22"/>
          <w:szCs w:val="22"/>
        </w:rPr>
        <w:t xml:space="preserve"> </w:t>
      </w:r>
      <w:r w:rsidR="00240591">
        <w:rPr>
          <w:rFonts w:ascii="Calibri" w:hAnsi="Calibri" w:cs="Calibri"/>
          <w:sz w:val="22"/>
          <w:szCs w:val="22"/>
        </w:rPr>
        <w:t>is to be noted that SCG (de)activation feature was introduced in Rel-</w:t>
      </w:r>
      <w:proofErr w:type="gramStart"/>
      <w:r w:rsidR="00240591">
        <w:rPr>
          <w:rFonts w:ascii="Calibri" w:hAnsi="Calibri" w:cs="Calibri"/>
          <w:sz w:val="22"/>
          <w:szCs w:val="22"/>
        </w:rPr>
        <w:t>16</w:t>
      </w:r>
      <w:proofErr w:type="gramEnd"/>
      <w:r w:rsidR="00240591">
        <w:rPr>
          <w:rFonts w:ascii="Calibri" w:hAnsi="Calibri" w:cs="Calibri"/>
          <w:sz w:val="22"/>
          <w:szCs w:val="22"/>
        </w:rPr>
        <w:t xml:space="preserve"> and it is useful to collect data from these Rel-16+ UEs as well and not just the Rel-19 UEs which might be </w:t>
      </w:r>
      <w:r w:rsidR="00D30C6C">
        <w:rPr>
          <w:rFonts w:ascii="Calibri" w:hAnsi="Calibri" w:cs="Calibri"/>
          <w:sz w:val="22"/>
          <w:szCs w:val="22"/>
        </w:rPr>
        <w:t>very few.</w:t>
      </w:r>
    </w:p>
    <w:p w14:paraId="031B3FA0" w14:textId="77777777" w:rsidR="004C15FF" w:rsidRDefault="004C15FF" w:rsidP="007A4594">
      <w:pPr>
        <w:pStyle w:val="NormalWeb"/>
        <w:spacing w:before="0" w:beforeAutospacing="0" w:after="0" w:afterAutospacing="0"/>
        <w:rPr>
          <w:rFonts w:ascii="Calibri" w:hAnsi="Calibri" w:cs="Calibri"/>
          <w:sz w:val="22"/>
          <w:szCs w:val="22"/>
        </w:rPr>
      </w:pPr>
    </w:p>
    <w:p w14:paraId="4CDA0FEE" w14:textId="073FDFB4" w:rsidR="004C15FF" w:rsidRDefault="004C15FF" w:rsidP="004C15FF">
      <w:pPr>
        <w:pStyle w:val="Observation"/>
      </w:pPr>
      <w:bookmarkStart w:id="8" w:name="_Toc178770936"/>
      <w:bookmarkStart w:id="9" w:name="_Toc178793576"/>
      <w:r>
        <w:t>SCG (de) activation feature was introduced in Rel-16 and there would be more Rel-16 UEs deployed than Rel-19 UEs supporting the UE-based solution</w:t>
      </w:r>
      <w:bookmarkEnd w:id="8"/>
      <w:bookmarkEnd w:id="9"/>
    </w:p>
    <w:p w14:paraId="7B4736DB" w14:textId="77777777" w:rsidR="004C15FF" w:rsidRDefault="004C15FF" w:rsidP="004C15FF">
      <w:pPr>
        <w:pStyle w:val="Observation"/>
        <w:numPr>
          <w:ilvl w:val="0"/>
          <w:numId w:val="0"/>
        </w:numPr>
        <w:ind w:left="432"/>
      </w:pPr>
    </w:p>
    <w:p w14:paraId="77543DE5" w14:textId="65AB64CF" w:rsidR="004C15FF" w:rsidRDefault="004C15FF" w:rsidP="004C15FF">
      <w:pPr>
        <w:pStyle w:val="Observation"/>
      </w:pPr>
      <w:bookmarkStart w:id="10" w:name="_Toc178770937"/>
      <w:bookmarkStart w:id="11" w:name="_Hlk178770050"/>
      <w:bookmarkStart w:id="12" w:name="_Toc178793577"/>
      <w:r>
        <w:t xml:space="preserve">NW based solution </w:t>
      </w:r>
      <w:r w:rsidRPr="004C15FF">
        <w:t>enable the collection of this SCG (de)activation information from legacy UEs as well without the need to have a Rel-19 UE supporting this feature</w:t>
      </w:r>
      <w:bookmarkEnd w:id="10"/>
      <w:bookmarkEnd w:id="12"/>
    </w:p>
    <w:bookmarkEnd w:id="11"/>
    <w:p w14:paraId="71D840A6" w14:textId="77777777" w:rsidR="00D30C6C" w:rsidRDefault="00D30C6C" w:rsidP="007A4594">
      <w:pPr>
        <w:pStyle w:val="NormalWeb"/>
        <w:spacing w:before="0" w:beforeAutospacing="0" w:after="0" w:afterAutospacing="0"/>
        <w:rPr>
          <w:rFonts w:ascii="Calibri" w:hAnsi="Calibri" w:cs="Calibri"/>
          <w:sz w:val="22"/>
          <w:szCs w:val="22"/>
        </w:rPr>
      </w:pPr>
    </w:p>
    <w:p w14:paraId="5F7800A1" w14:textId="0D0CFAC5" w:rsidR="00D30C6C" w:rsidRDefault="00D30C6C"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Also, this NW based solution can enable a more dynamic </w:t>
      </w:r>
      <w:r w:rsidR="0095660D">
        <w:rPr>
          <w:rFonts w:ascii="Calibri" w:hAnsi="Calibri" w:cs="Calibri"/>
          <w:sz w:val="22"/>
          <w:szCs w:val="22"/>
        </w:rPr>
        <w:t xml:space="preserve">optimization (e.g. MN can indicate </w:t>
      </w:r>
      <w:r w:rsidR="0072365F">
        <w:rPr>
          <w:rFonts w:ascii="Calibri" w:hAnsi="Calibri" w:cs="Calibri"/>
          <w:sz w:val="22"/>
          <w:szCs w:val="22"/>
        </w:rPr>
        <w:t>these statistics</w:t>
      </w:r>
      <w:r w:rsidR="0095660D">
        <w:rPr>
          <w:rFonts w:ascii="Calibri" w:hAnsi="Calibri" w:cs="Calibri"/>
          <w:sz w:val="22"/>
          <w:szCs w:val="22"/>
        </w:rPr>
        <w:t xml:space="preserve"> to the SN before SN Release) rather than waiting this information to be retrieved from UE (which can take up to 48 hours).</w:t>
      </w:r>
    </w:p>
    <w:p w14:paraId="6FE71A39" w14:textId="77777777" w:rsidR="004C15FF" w:rsidRDefault="004C15FF" w:rsidP="007A4594">
      <w:pPr>
        <w:pStyle w:val="NormalWeb"/>
        <w:spacing w:before="0" w:beforeAutospacing="0" w:after="0" w:afterAutospacing="0"/>
        <w:rPr>
          <w:rFonts w:ascii="Calibri" w:hAnsi="Calibri" w:cs="Calibri"/>
          <w:sz w:val="22"/>
          <w:szCs w:val="22"/>
        </w:rPr>
      </w:pPr>
    </w:p>
    <w:p w14:paraId="01923185" w14:textId="57B98AC8" w:rsidR="004C15FF" w:rsidRDefault="004C15FF" w:rsidP="004C15FF">
      <w:pPr>
        <w:pStyle w:val="Observation"/>
      </w:pPr>
      <w:bookmarkStart w:id="13" w:name="_Toc178770938"/>
      <w:bookmarkStart w:id="14" w:name="_Toc178793578"/>
      <w:r w:rsidRPr="004C15FF">
        <w:t xml:space="preserve">NW based solution can enable a more </w:t>
      </w:r>
      <w:r w:rsidR="00771B9F">
        <w:t>dynamic</w:t>
      </w:r>
      <w:r w:rsidRPr="004C15FF">
        <w:t xml:space="preserve"> optimization (e.g. MN can indicate these statistics to the SN before SN Release) rather than waiting this information to be retrieved from UE (which can take up to 48 hours).</w:t>
      </w:r>
      <w:bookmarkEnd w:id="13"/>
      <w:bookmarkEnd w:id="14"/>
    </w:p>
    <w:p w14:paraId="290A6824" w14:textId="77777777" w:rsidR="008D32BE" w:rsidRDefault="008D32BE" w:rsidP="007A4594">
      <w:pPr>
        <w:pStyle w:val="NormalWeb"/>
        <w:spacing w:before="0" w:beforeAutospacing="0" w:after="0" w:afterAutospacing="0"/>
        <w:rPr>
          <w:rFonts w:ascii="Calibri" w:hAnsi="Calibri" w:cs="Calibri"/>
          <w:sz w:val="22"/>
          <w:szCs w:val="22"/>
        </w:rPr>
      </w:pPr>
    </w:p>
    <w:p w14:paraId="42F88FF2" w14:textId="53CF3C3D" w:rsidR="0072365F" w:rsidRDefault="0072365F" w:rsidP="0072365F">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Historically, MHR and UHI has a lot of duplicate information (e.g., time spent in </w:t>
      </w:r>
      <w:proofErr w:type="spellStart"/>
      <w:r>
        <w:rPr>
          <w:rFonts w:ascii="Calibri" w:hAnsi="Calibri" w:cs="Calibri"/>
          <w:sz w:val="22"/>
          <w:szCs w:val="22"/>
        </w:rPr>
        <w:t>PCell</w:t>
      </w:r>
      <w:proofErr w:type="spellEnd"/>
      <w:r>
        <w:rPr>
          <w:rFonts w:ascii="Calibri" w:hAnsi="Calibri" w:cs="Calibri"/>
          <w:sz w:val="22"/>
          <w:szCs w:val="22"/>
        </w:rPr>
        <w:t>/</w:t>
      </w:r>
      <w:proofErr w:type="spellStart"/>
      <w:r>
        <w:rPr>
          <w:rFonts w:ascii="Calibri" w:hAnsi="Calibri" w:cs="Calibri"/>
          <w:sz w:val="22"/>
          <w:szCs w:val="22"/>
        </w:rPr>
        <w:t>PSCell</w:t>
      </w:r>
      <w:proofErr w:type="spellEnd"/>
      <w:r>
        <w:rPr>
          <w:rFonts w:ascii="Calibri" w:hAnsi="Calibri" w:cs="Calibri"/>
          <w:sz w:val="22"/>
          <w:szCs w:val="22"/>
        </w:rPr>
        <w:t xml:space="preserve"> is logged in both places) and the main difference for MHR is that it enables collection of UE History across RRC state transitions.</w:t>
      </w:r>
    </w:p>
    <w:p w14:paraId="5AD26273" w14:textId="77777777" w:rsidR="0072365F" w:rsidRDefault="0072365F" w:rsidP="007A4594">
      <w:pPr>
        <w:pStyle w:val="NormalWeb"/>
        <w:spacing w:before="0" w:beforeAutospacing="0" w:after="0" w:afterAutospacing="0"/>
        <w:rPr>
          <w:rFonts w:ascii="Calibri" w:hAnsi="Calibri" w:cs="Calibri"/>
          <w:sz w:val="22"/>
          <w:szCs w:val="22"/>
        </w:rPr>
      </w:pPr>
    </w:p>
    <w:p w14:paraId="7943848F" w14:textId="53CC718D" w:rsidR="001F7E11" w:rsidRDefault="00601210" w:rsidP="007A459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There were some companies in RAN2 proposing to have a UE-based solution to handle Connected </w:t>
      </w:r>
      <w:r w:rsidRPr="00601210">
        <w:rPr>
          <w:rFonts w:ascii="Calibri" w:hAnsi="Calibri" w:cs="Calibri"/>
          <w:sz w:val="22"/>
          <w:szCs w:val="22"/>
        </w:rPr>
        <w:sym w:font="Wingdings" w:char="F0E0"/>
      </w:r>
      <w:r>
        <w:rPr>
          <w:rFonts w:ascii="Calibri" w:hAnsi="Calibri" w:cs="Calibri"/>
          <w:sz w:val="22"/>
          <w:szCs w:val="22"/>
        </w:rPr>
        <w:t xml:space="preserve"> Idle </w:t>
      </w:r>
      <w:r w:rsidRPr="00601210">
        <w:rPr>
          <w:rFonts w:ascii="Calibri" w:hAnsi="Calibri" w:cs="Calibri"/>
          <w:sz w:val="22"/>
          <w:szCs w:val="22"/>
        </w:rPr>
        <w:sym w:font="Wingdings" w:char="F0E0"/>
      </w:r>
      <w:r>
        <w:rPr>
          <w:rFonts w:ascii="Calibri" w:hAnsi="Calibri" w:cs="Calibri"/>
          <w:sz w:val="22"/>
          <w:szCs w:val="22"/>
        </w:rPr>
        <w:t xml:space="preserve"> Connected transitions and argued that the NW-based solution (the UHI stored) is lost upon RRC state transitions. In our view, we don’t need to solve this because this is a problem </w:t>
      </w:r>
      <w:r w:rsidR="001F7E11">
        <w:rPr>
          <w:rFonts w:ascii="Calibri" w:hAnsi="Calibri" w:cs="Calibri"/>
          <w:sz w:val="22"/>
          <w:szCs w:val="22"/>
        </w:rPr>
        <w:t>for the legacy UHI and not specific to SCG (de)activation information.</w:t>
      </w:r>
      <w:r w:rsidR="003360AC">
        <w:rPr>
          <w:rFonts w:ascii="Calibri" w:hAnsi="Calibri" w:cs="Calibri"/>
          <w:sz w:val="22"/>
          <w:szCs w:val="22"/>
        </w:rPr>
        <w:t xml:space="preserve"> Also, once the UE goes to RRC_IDLE, there is no </w:t>
      </w:r>
      <w:r w:rsidR="008D32BE">
        <w:rPr>
          <w:rFonts w:ascii="Calibri" w:hAnsi="Calibri" w:cs="Calibri"/>
          <w:sz w:val="22"/>
          <w:szCs w:val="22"/>
        </w:rPr>
        <w:t>SCG and the SCG (de) activation information is not useful anymore.</w:t>
      </w:r>
      <w:r w:rsidR="0072365F">
        <w:rPr>
          <w:rFonts w:ascii="Calibri" w:hAnsi="Calibri" w:cs="Calibri"/>
          <w:sz w:val="22"/>
          <w:szCs w:val="22"/>
        </w:rPr>
        <w:t xml:space="preserve"> Rather, we should look to support the NW based solution which has more benefits as listed above.</w:t>
      </w:r>
    </w:p>
    <w:p w14:paraId="0CC3322B" w14:textId="77777777" w:rsidR="0072365F" w:rsidRDefault="0072365F" w:rsidP="007A4594">
      <w:pPr>
        <w:pStyle w:val="NormalWeb"/>
        <w:spacing w:before="0" w:beforeAutospacing="0" w:after="0" w:afterAutospacing="0"/>
        <w:rPr>
          <w:rFonts w:ascii="Calibri" w:hAnsi="Calibri" w:cs="Calibri"/>
          <w:sz w:val="22"/>
          <w:szCs w:val="22"/>
        </w:rPr>
      </w:pPr>
    </w:p>
    <w:p w14:paraId="039A9468" w14:textId="6694B5D8" w:rsidR="00601210" w:rsidRDefault="004C15FF" w:rsidP="004C15FF">
      <w:pPr>
        <w:pStyle w:val="Observation"/>
      </w:pPr>
      <w:bookmarkStart w:id="15" w:name="_Toc178770939"/>
      <w:bookmarkStart w:id="16" w:name="_Toc178793579"/>
      <w:r>
        <w:lastRenderedPageBreak/>
        <w:t>Concerns of the loss of UHI upon RRC state transitions (compared to MHR which is persistent across RRC state transitions) is not sp</w:t>
      </w:r>
      <w:r w:rsidR="001F13C9">
        <w:t>ecific to SCG (de)activation and is the inherent difference between UHI and MHR.</w:t>
      </w:r>
      <w:bookmarkEnd w:id="15"/>
      <w:bookmarkEnd w:id="16"/>
    </w:p>
    <w:p w14:paraId="143E2F13" w14:textId="0CC1581D" w:rsidR="001F13C9" w:rsidRDefault="001F13C9" w:rsidP="005F6D30">
      <w:pPr>
        <w:pStyle w:val="Observation"/>
        <w:numPr>
          <w:ilvl w:val="0"/>
          <w:numId w:val="0"/>
        </w:numPr>
      </w:pPr>
    </w:p>
    <w:p w14:paraId="14221BE4" w14:textId="77777777" w:rsidR="00572672" w:rsidRDefault="00771B9F" w:rsidP="00572672">
      <w:pPr>
        <w:pStyle w:val="PropObs"/>
      </w:pPr>
      <w:bookmarkStart w:id="17" w:name="_Toc178770940"/>
      <w:bookmarkStart w:id="18" w:name="_Toc178793580"/>
      <w:r>
        <w:t xml:space="preserve">Send a Reply LS to RAN2 mentioning that NW-based solution is sufficient to collect information on time spent in SCG activated or deactivated state, since the NW-based solution has more benefits compared to the UE-based solution </w:t>
      </w:r>
      <w:r w:rsidR="003B4377">
        <w:t>e.g.</w:t>
      </w:r>
      <w:r>
        <w:t>,</w:t>
      </w:r>
      <w:bookmarkEnd w:id="17"/>
      <w:bookmarkEnd w:id="18"/>
    </w:p>
    <w:p w14:paraId="57A07B73" w14:textId="77777777" w:rsidR="00572672" w:rsidRDefault="00771B9F" w:rsidP="00572672">
      <w:pPr>
        <w:pStyle w:val="PropObs"/>
        <w:numPr>
          <w:ilvl w:val="1"/>
          <w:numId w:val="5"/>
        </w:numPr>
      </w:pPr>
      <w:bookmarkStart w:id="19" w:name="_Toc178793581"/>
      <w:r w:rsidRPr="00572672">
        <w:t>NW based solution enable the collection of this SCG (de)activation information from legacy UEs (even from Rel-16 UEs which support SCG (de) activation) without the need to have a Rel-19 UE supporting this feature</w:t>
      </w:r>
      <w:bookmarkEnd w:id="19"/>
    </w:p>
    <w:p w14:paraId="03486D1E" w14:textId="77777777" w:rsidR="00572672" w:rsidRDefault="00771B9F" w:rsidP="00572672">
      <w:pPr>
        <w:pStyle w:val="PropObs"/>
        <w:numPr>
          <w:ilvl w:val="1"/>
          <w:numId w:val="5"/>
        </w:numPr>
      </w:pPr>
      <w:bookmarkStart w:id="20" w:name="_Toc178793582"/>
      <w:r w:rsidRPr="00572672">
        <w:t>NW based solution can enable a more dynamic optimization (e.g. MN can indicate these statistics to the SN before SN Release) rather than waiting this information to be retrieved from UE (which can take up to 48 hours).</w:t>
      </w:r>
      <w:bookmarkEnd w:id="20"/>
    </w:p>
    <w:p w14:paraId="3A2FB2B4" w14:textId="461A8AB7" w:rsidR="00771B9F" w:rsidRPr="00572672" w:rsidRDefault="00771B9F" w:rsidP="00572672">
      <w:pPr>
        <w:pStyle w:val="PropObs"/>
        <w:numPr>
          <w:ilvl w:val="1"/>
          <w:numId w:val="5"/>
        </w:numPr>
      </w:pPr>
      <w:bookmarkStart w:id="21" w:name="_Toc178793583"/>
      <w:r w:rsidRPr="00572672">
        <w:t>MN always knows when an SCG is activated or deactivated for a UE, irrespective of whether the SCG (de)activation is MN or SN initiated.</w:t>
      </w:r>
      <w:r w:rsidR="003B4377" w:rsidRPr="00572672">
        <w:t xml:space="preserve"> There is no need to add burden to UE to collect this information, when MN can collect this.</w:t>
      </w:r>
      <w:bookmarkEnd w:id="21"/>
    </w:p>
    <w:p w14:paraId="18752FCF" w14:textId="77777777" w:rsidR="00F72B24" w:rsidRDefault="00F72B24" w:rsidP="007A4594">
      <w:pPr>
        <w:pStyle w:val="NormalWeb"/>
        <w:spacing w:before="0" w:beforeAutospacing="0" w:after="0" w:afterAutospacing="0"/>
        <w:rPr>
          <w:rFonts w:ascii="Calibri" w:hAnsi="Calibri" w:cs="Calibri"/>
          <w:sz w:val="22"/>
          <w:szCs w:val="22"/>
        </w:rPr>
      </w:pPr>
    </w:p>
    <w:p w14:paraId="4903A0C2"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2B3B1EE6" w14:textId="77777777" w:rsidR="007A4594" w:rsidRPr="00572672" w:rsidRDefault="007A4594" w:rsidP="007A4594">
      <w:pPr>
        <w:spacing w:after="0"/>
        <w:rPr>
          <w:rFonts w:ascii="Calibri" w:eastAsia="Times New Roman" w:hAnsi="Calibri" w:cs="Calibri"/>
          <w:b/>
          <w:bCs/>
          <w:sz w:val="22"/>
          <w:szCs w:val="22"/>
          <w:lang w:val="en-US"/>
        </w:rPr>
      </w:pPr>
    </w:p>
    <w:p w14:paraId="070E0568" w14:textId="77777777" w:rsidR="00572672" w:rsidRPr="00572672" w:rsidRDefault="00D7070F">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rFonts w:ascii="Calibri" w:hAnsi="Calibri" w:cs="Calibri"/>
          <w:b/>
          <w:bCs/>
          <w:sz w:val="22"/>
          <w:szCs w:val="22"/>
          <w:u w:val="single"/>
          <w:lang w:eastAsia="zh-CN"/>
        </w:rPr>
        <w:fldChar w:fldCharType="begin"/>
      </w:r>
      <w:r w:rsidRPr="00572672">
        <w:rPr>
          <w:rFonts w:ascii="Calibri" w:hAnsi="Calibri" w:cs="Calibri"/>
          <w:b/>
          <w:bCs/>
          <w:sz w:val="22"/>
          <w:szCs w:val="22"/>
          <w:u w:val="single"/>
          <w:lang w:eastAsia="zh-CN"/>
        </w:rPr>
        <w:instrText xml:space="preserve"> TOC \n \t "Heading 2,1,Heading 3,2,Observation,3,PropObs,3" </w:instrText>
      </w:r>
      <w:r w:rsidRPr="00572672">
        <w:rPr>
          <w:rFonts w:ascii="Calibri" w:hAnsi="Calibri" w:cs="Calibri"/>
          <w:b/>
          <w:bCs/>
          <w:sz w:val="22"/>
          <w:szCs w:val="22"/>
          <w:u w:val="single"/>
          <w:lang w:eastAsia="zh-CN"/>
        </w:rPr>
        <w:fldChar w:fldCharType="separate"/>
      </w:r>
      <w:r w:rsidR="00572672" w:rsidRPr="00572672">
        <w:rPr>
          <w:b/>
          <w:bCs/>
          <w:noProof/>
        </w:rPr>
        <w:t>Observation 1.</w:t>
      </w:r>
      <w:r w:rsidR="00572672" w:rsidRPr="00572672">
        <w:rPr>
          <w:rFonts w:asciiTheme="minorHAnsi" w:eastAsiaTheme="minorEastAsia" w:hAnsiTheme="minorHAnsi" w:cstheme="minorBidi"/>
          <w:b/>
          <w:bCs/>
          <w:noProof/>
          <w:kern w:val="2"/>
          <w:sz w:val="24"/>
          <w:szCs w:val="24"/>
          <w:lang w:val="en-US"/>
          <w14:ligatures w14:val="standardContextual"/>
        </w:rPr>
        <w:tab/>
      </w:r>
      <w:r w:rsidR="00572672" w:rsidRPr="00572672">
        <w:rPr>
          <w:b/>
          <w:bCs/>
          <w:noProof/>
        </w:rPr>
        <w:t>RAN2 sent an LS to RAN3 seeking views on whether a NW-based solution is sufficient for SCG (de) activation related optimization, or whether a UE based solution is needed.</w:t>
      </w:r>
    </w:p>
    <w:p w14:paraId="3FF2195C" w14:textId="646EDC5F"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rFonts w:ascii="Symbol" w:hAnsi="Symbol"/>
          <w:b/>
          <w:bCs/>
          <w:noProof/>
        </w:rPr>
        <w:t></w:t>
      </w:r>
      <w:r>
        <w:rPr>
          <w:rFonts w:asciiTheme="minorHAnsi" w:eastAsiaTheme="minorEastAsia" w:hAnsiTheme="minorHAnsi" w:cstheme="minorBidi"/>
          <w:b/>
          <w:bCs/>
          <w:noProof/>
          <w:kern w:val="2"/>
          <w:sz w:val="24"/>
          <w:szCs w:val="24"/>
          <w:lang w:val="en-US"/>
          <w14:ligatures w14:val="standardContextual"/>
        </w:rPr>
        <w:t xml:space="preserve"> </w:t>
      </w:r>
      <w:r w:rsidRPr="00572672">
        <w:rPr>
          <w:b/>
          <w:bCs/>
          <w:noProof/>
        </w:rPr>
        <w:t>Option 1: NW-based solution: The network collects the information about time spent in the PSCell in activated or deactivated state.</w:t>
      </w:r>
    </w:p>
    <w:p w14:paraId="45C3A933" w14:textId="53F082BC"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rFonts w:ascii="Symbol" w:hAnsi="Symbol"/>
          <w:b/>
          <w:bCs/>
          <w:noProof/>
        </w:rPr>
        <w:t></w:t>
      </w:r>
      <w:r>
        <w:rPr>
          <w:rFonts w:ascii="Symbol" w:hAnsi="Symbol"/>
          <w:b/>
          <w:bCs/>
          <w:noProof/>
        </w:rPr>
        <w:t xml:space="preserve"> </w:t>
      </w:r>
      <w:r w:rsidRPr="00572672">
        <w:rPr>
          <w:b/>
          <w:bCs/>
          <w:noProof/>
        </w:rPr>
        <w:t>Option 2: UE based solution: The UE includes the information about time spent in the PSCell in activated vs deactivated state in MHI (Mobility History Information).</w:t>
      </w:r>
    </w:p>
    <w:p w14:paraId="7E3EEE01"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2.</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MN always knows when an SCG is activated or deactivated for a UE, irrespective of whether the SCG (de)activation is MN or SN initiated.</w:t>
      </w:r>
    </w:p>
    <w:p w14:paraId="4F3D8C75"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3.</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SCG (de) activation feature was introduced in Rel-16 and there would be more Rel-16 UEs deployed than Rel-19 UEs supporting the UE-based solution</w:t>
      </w:r>
    </w:p>
    <w:p w14:paraId="07423428"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4.</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NW based solution enable the collection of this SCG (de)activation information from legacy UEs as well without the need to have a Rel-19 UE supporting this feature</w:t>
      </w:r>
    </w:p>
    <w:p w14:paraId="11D7993B"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5.</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NW based solution can enable a more dynamic optimization (e.g. MN can indicate these statistics to the SN before SN Release) rather than waiting this information to be retrieved from UE (which can take up to 48 hours).</w:t>
      </w:r>
    </w:p>
    <w:p w14:paraId="171E36D7" w14:textId="77777777" w:rsidR="00572672" w:rsidRPr="00572672" w:rsidRDefault="00572672">
      <w:pPr>
        <w:pStyle w:val="TOC3"/>
        <w:tabs>
          <w:tab w:val="left" w:pos="192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b/>
          <w:bCs/>
          <w:noProof/>
        </w:rPr>
        <w:t>Observation 6.</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Concerns of the loss of UHI upon RRC state transitions (compared to MHR which is persistent across RRC state transitions) is not specific to SCG (de)activation and is the inherent difference between UHI and MHR.</w:t>
      </w:r>
    </w:p>
    <w:p w14:paraId="7D2A97BD" w14:textId="77777777" w:rsidR="00572672" w:rsidRPr="00572672" w:rsidRDefault="00572672">
      <w:pPr>
        <w:pStyle w:val="TOC3"/>
        <w:tabs>
          <w:tab w:val="left" w:pos="1680"/>
          <w:tab w:val="right" w:leader="dot" w:pos="9350"/>
        </w:tabs>
        <w:rPr>
          <w:rFonts w:asciiTheme="minorHAnsi" w:eastAsiaTheme="minorEastAsia" w:hAnsiTheme="minorHAnsi" w:cstheme="minorBidi"/>
          <w:b/>
          <w:bCs/>
          <w:noProof/>
          <w:kern w:val="2"/>
          <w:sz w:val="24"/>
          <w:szCs w:val="24"/>
          <w:lang w:val="en-US"/>
          <w14:ligatures w14:val="standardContextual"/>
        </w:rPr>
      </w:pPr>
      <w:r w:rsidRPr="00572672">
        <w:rPr>
          <w:rFonts w:asciiTheme="minorHAnsi" w:hAnsiTheme="minorHAnsi" w:cstheme="minorHAnsi"/>
          <w:b/>
          <w:bCs/>
          <w:noProof/>
        </w:rPr>
        <w:t>Proposal 1:</w:t>
      </w:r>
      <w:r w:rsidRPr="00572672">
        <w:rPr>
          <w:rFonts w:asciiTheme="minorHAnsi" w:eastAsiaTheme="minorEastAsia" w:hAnsiTheme="minorHAnsi" w:cstheme="minorBidi"/>
          <w:b/>
          <w:bCs/>
          <w:noProof/>
          <w:kern w:val="2"/>
          <w:sz w:val="24"/>
          <w:szCs w:val="24"/>
          <w:lang w:val="en-US"/>
          <w14:ligatures w14:val="standardContextual"/>
        </w:rPr>
        <w:tab/>
      </w:r>
      <w:r w:rsidRPr="00572672">
        <w:rPr>
          <w:b/>
          <w:bCs/>
          <w:noProof/>
        </w:rPr>
        <w:t>Send a Reply LS to RAN2 mentioning that NW-based solution is sufficient to collect information on time spent in SCG activated or deactivated state, since the NW-based solution has more benefits compared to the UE-based solution e.g.,</w:t>
      </w:r>
    </w:p>
    <w:p w14:paraId="660C325B" w14:textId="041DC25E"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b/>
          <w:bCs/>
          <w:noProof/>
        </w:rPr>
        <w:t>a.</w:t>
      </w:r>
      <w:r>
        <w:rPr>
          <w:rFonts w:asciiTheme="minorHAnsi" w:eastAsiaTheme="minorEastAsia" w:hAnsiTheme="minorHAnsi" w:cstheme="minorBidi"/>
          <w:b/>
          <w:bCs/>
          <w:noProof/>
          <w:kern w:val="2"/>
          <w:sz w:val="24"/>
          <w:szCs w:val="24"/>
          <w:lang w:val="en-US"/>
          <w14:ligatures w14:val="standardContextual"/>
        </w:rPr>
        <w:t xml:space="preserve"> </w:t>
      </w:r>
      <w:r w:rsidRPr="00572672">
        <w:rPr>
          <w:b/>
          <w:bCs/>
          <w:noProof/>
        </w:rPr>
        <w:t>NW based solution enable the collection of this SCG (de)activation information from legacy UEs (even from Rel-16 UEs which support SCG (de) activation) without the need to have a Rel-19 UE supporting this feature</w:t>
      </w:r>
    </w:p>
    <w:p w14:paraId="7CF4C145" w14:textId="5ED74819"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b/>
          <w:bCs/>
          <w:noProof/>
        </w:rPr>
        <w:t>b.</w:t>
      </w:r>
      <w:r>
        <w:rPr>
          <w:b/>
          <w:bCs/>
          <w:noProof/>
        </w:rPr>
        <w:t xml:space="preserve"> </w:t>
      </w:r>
      <w:r w:rsidRPr="00572672">
        <w:rPr>
          <w:b/>
          <w:bCs/>
          <w:noProof/>
        </w:rPr>
        <w:t>NW based solution can enable a more dynamic optimization (e.g. MN can indicate these statistics to the SN before SN Release) rather than waiting this information to be retrieved from UE (which can take up to 48 hours).</w:t>
      </w:r>
    </w:p>
    <w:p w14:paraId="54A769B4" w14:textId="0838B56A" w:rsidR="00572672" w:rsidRPr="00572672" w:rsidRDefault="00572672" w:rsidP="00572672">
      <w:pPr>
        <w:pStyle w:val="TOC3"/>
        <w:tabs>
          <w:tab w:val="left" w:pos="1170"/>
          <w:tab w:val="right" w:leader="dot" w:pos="9350"/>
        </w:tabs>
        <w:ind w:left="1170"/>
        <w:rPr>
          <w:rFonts w:asciiTheme="minorHAnsi" w:eastAsiaTheme="minorEastAsia" w:hAnsiTheme="minorHAnsi" w:cstheme="minorBidi"/>
          <w:b/>
          <w:bCs/>
          <w:noProof/>
          <w:kern w:val="2"/>
          <w:sz w:val="24"/>
          <w:szCs w:val="24"/>
          <w:lang w:val="en-US"/>
          <w14:ligatures w14:val="standardContextual"/>
        </w:rPr>
      </w:pPr>
      <w:r w:rsidRPr="00572672">
        <w:rPr>
          <w:b/>
          <w:bCs/>
          <w:noProof/>
        </w:rPr>
        <w:lastRenderedPageBreak/>
        <w:t>c.</w:t>
      </w:r>
      <w:r>
        <w:rPr>
          <w:rFonts w:asciiTheme="minorHAnsi" w:eastAsiaTheme="minorEastAsia" w:hAnsiTheme="minorHAnsi" w:cstheme="minorBidi"/>
          <w:b/>
          <w:bCs/>
          <w:noProof/>
          <w:kern w:val="2"/>
          <w:sz w:val="24"/>
          <w:szCs w:val="24"/>
          <w:lang w:val="en-US"/>
          <w14:ligatures w14:val="standardContextual"/>
        </w:rPr>
        <w:t xml:space="preserve"> </w:t>
      </w:r>
      <w:r w:rsidRPr="00572672">
        <w:rPr>
          <w:b/>
          <w:bCs/>
          <w:noProof/>
        </w:rPr>
        <w:t>MN always knows when an SCG is activated or deactivated for a UE, irrespective of whether the SCG (de)activation is MN or SN initiated. There is no need to add burden to UE to collect this information, when MN can collect this.</w:t>
      </w:r>
    </w:p>
    <w:p w14:paraId="17E70B7E" w14:textId="358EFF20" w:rsidR="00D7070F" w:rsidRDefault="00D7070F" w:rsidP="00D7070F">
      <w:pPr>
        <w:spacing w:after="0"/>
        <w:rPr>
          <w:rFonts w:ascii="Calibri" w:eastAsia="Times New Roman" w:hAnsi="Calibri" w:cs="Calibri"/>
          <w:sz w:val="22"/>
          <w:szCs w:val="22"/>
          <w:lang w:val="en-US"/>
        </w:rPr>
      </w:pPr>
      <w:r w:rsidRPr="00572672">
        <w:rPr>
          <w:rFonts w:ascii="Calibri" w:hAnsi="Calibri" w:cs="Calibri"/>
          <w:b/>
          <w:bCs/>
          <w:sz w:val="22"/>
          <w:szCs w:val="22"/>
          <w:u w:val="single"/>
          <w:lang w:eastAsia="zh-CN"/>
        </w:rPr>
        <w:fldChar w:fldCharType="end"/>
      </w:r>
    </w:p>
    <w:p w14:paraId="161D3107" w14:textId="77777777" w:rsidR="007A4594" w:rsidRPr="00EF3F1B" w:rsidRDefault="007A4594" w:rsidP="008C1CF4">
      <w:pPr>
        <w:pStyle w:val="Heading1"/>
        <w:numPr>
          <w:ilvl w:val="0"/>
          <w:numId w:val="0"/>
        </w:numPr>
        <w:pBdr>
          <w:top w:val="single" w:sz="12" w:space="2" w:color="auto"/>
        </w:pBdr>
        <w:rPr>
          <w:rFonts w:asciiTheme="minorHAnsi" w:hAnsiTheme="minorHAnsi" w:cstheme="minorHAnsi"/>
          <w:sz w:val="28"/>
        </w:rPr>
      </w:pPr>
      <w:r w:rsidRPr="00EF3F1B">
        <w:rPr>
          <w:rFonts w:asciiTheme="minorHAnsi" w:hAnsiTheme="minorHAnsi" w:cstheme="minorHAnsi"/>
          <w:sz w:val="28"/>
        </w:rPr>
        <w:t>4. References</w:t>
      </w:r>
    </w:p>
    <w:p w14:paraId="78EE9A5A" w14:textId="77777777" w:rsidR="007A4594" w:rsidRPr="00EF3F1B" w:rsidRDefault="007A4594" w:rsidP="007A4594">
      <w:pPr>
        <w:rPr>
          <w:rFonts w:asciiTheme="minorHAnsi" w:hAnsiTheme="minorHAnsi" w:cstheme="minorHAnsi"/>
        </w:rPr>
      </w:pPr>
    </w:p>
    <w:p w14:paraId="7D542E2C" w14:textId="77777777" w:rsidR="008203A2" w:rsidRPr="007A4594" w:rsidRDefault="008203A2" w:rsidP="007A4594"/>
    <w:sectPr w:rsidR="008203A2" w:rsidRPr="007A4594"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1F2BE" w14:textId="77777777" w:rsidR="0090559E" w:rsidRDefault="0090559E">
      <w:pPr>
        <w:spacing w:after="0"/>
      </w:pPr>
      <w:r>
        <w:separator/>
      </w:r>
    </w:p>
  </w:endnote>
  <w:endnote w:type="continuationSeparator" w:id="0">
    <w:p w14:paraId="5FD303A5" w14:textId="77777777" w:rsidR="0090559E" w:rsidRDefault="0090559E">
      <w:pPr>
        <w:spacing w:after="0"/>
      </w:pPr>
      <w:r>
        <w:continuationSeparator/>
      </w:r>
    </w:p>
  </w:endnote>
  <w:endnote w:type="continuationNotice" w:id="1">
    <w:p w14:paraId="50731636" w14:textId="77777777" w:rsidR="0090559E" w:rsidRDefault="00905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9681A"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37BA0E9"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BD87F"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34D3196"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731321" w14:textId="77777777" w:rsidR="0090559E" w:rsidRDefault="0090559E">
      <w:pPr>
        <w:spacing w:after="0"/>
      </w:pPr>
      <w:r>
        <w:separator/>
      </w:r>
    </w:p>
  </w:footnote>
  <w:footnote w:type="continuationSeparator" w:id="0">
    <w:p w14:paraId="3B5F6715" w14:textId="77777777" w:rsidR="0090559E" w:rsidRDefault="0090559E">
      <w:pPr>
        <w:spacing w:after="0"/>
      </w:pPr>
      <w:r>
        <w:continuationSeparator/>
      </w:r>
    </w:p>
  </w:footnote>
  <w:footnote w:type="continuationNotice" w:id="1">
    <w:p w14:paraId="341D61E4" w14:textId="77777777" w:rsidR="0090559E" w:rsidRDefault="009055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3A8F"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B20CD"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656EF0"/>
    <w:multiLevelType w:val="hybridMultilevel"/>
    <w:tmpl w:val="570E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51850"/>
    <w:multiLevelType w:val="hybridMultilevel"/>
    <w:tmpl w:val="D424117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D1A82"/>
    <w:multiLevelType w:val="multilevel"/>
    <w:tmpl w:val="DBA04A84"/>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5AA7787"/>
    <w:multiLevelType w:val="hybridMultilevel"/>
    <w:tmpl w:val="8168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45F6C"/>
    <w:multiLevelType w:val="hybridMultilevel"/>
    <w:tmpl w:val="0482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7"/>
  </w:num>
  <w:num w:numId="3" w16cid:durableId="115368091">
    <w:abstractNumId w:val="19"/>
  </w:num>
  <w:num w:numId="4" w16cid:durableId="57484751">
    <w:abstractNumId w:val="25"/>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1"/>
  </w:num>
  <w:num w:numId="7" w16cid:durableId="929848421">
    <w:abstractNumId w:val="1"/>
  </w:num>
  <w:num w:numId="8" w16cid:durableId="252789507">
    <w:abstractNumId w:val="5"/>
  </w:num>
  <w:num w:numId="9" w16cid:durableId="1794906155">
    <w:abstractNumId w:val="20"/>
  </w:num>
  <w:num w:numId="10" w16cid:durableId="1562522801">
    <w:abstractNumId w:val="6"/>
  </w:num>
  <w:num w:numId="11" w16cid:durableId="2106458739">
    <w:abstractNumId w:val="7"/>
  </w:num>
  <w:num w:numId="12" w16cid:durableId="1682975682">
    <w:abstractNumId w:val="24"/>
  </w:num>
  <w:num w:numId="13" w16cid:durableId="709763142">
    <w:abstractNumId w:val="23"/>
  </w:num>
  <w:num w:numId="14" w16cid:durableId="236985786">
    <w:abstractNumId w:val="2"/>
  </w:num>
  <w:num w:numId="15" w16cid:durableId="2038384352">
    <w:abstractNumId w:val="13"/>
  </w:num>
  <w:num w:numId="16" w16cid:durableId="1507670378">
    <w:abstractNumId w:val="18"/>
  </w:num>
  <w:num w:numId="17" w16cid:durableId="1351640583">
    <w:abstractNumId w:val="26"/>
  </w:num>
  <w:num w:numId="18" w16cid:durableId="436028882">
    <w:abstractNumId w:val="15"/>
  </w:num>
  <w:num w:numId="19" w16cid:durableId="32313276">
    <w:abstractNumId w:val="16"/>
  </w:num>
  <w:num w:numId="20" w16cid:durableId="180163874">
    <w:abstractNumId w:val="22"/>
  </w:num>
  <w:num w:numId="21" w16cid:durableId="118031024">
    <w:abstractNumId w:val="17"/>
  </w:num>
  <w:num w:numId="22" w16cid:durableId="1198734703">
    <w:abstractNumId w:val="17"/>
    <w:lvlOverride w:ilvl="0">
      <w:startOverride w:val="2"/>
    </w:lvlOverride>
    <w:lvlOverride w:ilvl="1">
      <w:startOverride w:val="2"/>
    </w:lvlOverride>
    <w:lvlOverride w:ilvl="2">
      <w:startOverride w:val="2"/>
    </w:lvlOverride>
  </w:num>
  <w:num w:numId="23" w16cid:durableId="1091898482">
    <w:abstractNumId w:val="14"/>
  </w:num>
  <w:num w:numId="24" w16cid:durableId="325938854">
    <w:abstractNumId w:val="11"/>
  </w:num>
  <w:num w:numId="25" w16cid:durableId="327830574">
    <w:abstractNumId w:val="12"/>
  </w:num>
  <w:num w:numId="26" w16cid:durableId="1139347396">
    <w:abstractNumId w:val="3"/>
  </w:num>
  <w:num w:numId="27" w16cid:durableId="633489448">
    <w:abstractNumId w:val="8"/>
  </w:num>
  <w:num w:numId="28" w16cid:durableId="203584076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594"/>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3CF4"/>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4C8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46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3C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1F7E11"/>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0591"/>
    <w:rsid w:val="00240A73"/>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0AC"/>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47FAB"/>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377"/>
    <w:rsid w:val="003B49F2"/>
    <w:rsid w:val="003B53D8"/>
    <w:rsid w:val="003B5D47"/>
    <w:rsid w:val="003B604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65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692"/>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4F0D"/>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02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5FF"/>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38A"/>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244"/>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34F"/>
    <w:rsid w:val="00560497"/>
    <w:rsid w:val="005619B8"/>
    <w:rsid w:val="005624FD"/>
    <w:rsid w:val="0056270F"/>
    <w:rsid w:val="00563958"/>
    <w:rsid w:val="005644AF"/>
    <w:rsid w:val="00565621"/>
    <w:rsid w:val="00565945"/>
    <w:rsid w:val="00565BA3"/>
    <w:rsid w:val="00565E5B"/>
    <w:rsid w:val="00567890"/>
    <w:rsid w:val="005708C7"/>
    <w:rsid w:val="005713DE"/>
    <w:rsid w:val="005714E1"/>
    <w:rsid w:val="00572672"/>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6D30"/>
    <w:rsid w:val="005F72EA"/>
    <w:rsid w:val="005F740B"/>
    <w:rsid w:val="0060052A"/>
    <w:rsid w:val="00600C10"/>
    <w:rsid w:val="00600E3B"/>
    <w:rsid w:val="00601085"/>
    <w:rsid w:val="006010FE"/>
    <w:rsid w:val="00601210"/>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219D"/>
    <w:rsid w:val="00683074"/>
    <w:rsid w:val="006839D6"/>
    <w:rsid w:val="00683BD4"/>
    <w:rsid w:val="0068408C"/>
    <w:rsid w:val="006841CB"/>
    <w:rsid w:val="006843B9"/>
    <w:rsid w:val="006843BC"/>
    <w:rsid w:val="00684F88"/>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2ED8"/>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555"/>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1A1B"/>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5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02F"/>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1B9F"/>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2F26"/>
    <w:rsid w:val="007A393A"/>
    <w:rsid w:val="007A3B44"/>
    <w:rsid w:val="007A44B9"/>
    <w:rsid w:val="007A4594"/>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C7FAA"/>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2D"/>
    <w:rsid w:val="008328B4"/>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82F"/>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AF1"/>
    <w:rsid w:val="008B7E3B"/>
    <w:rsid w:val="008B7EA8"/>
    <w:rsid w:val="008C0247"/>
    <w:rsid w:val="008C03E9"/>
    <w:rsid w:val="008C055F"/>
    <w:rsid w:val="008C062B"/>
    <w:rsid w:val="008C090F"/>
    <w:rsid w:val="008C16C5"/>
    <w:rsid w:val="008C1CF4"/>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2BE"/>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59E"/>
    <w:rsid w:val="00906895"/>
    <w:rsid w:val="00906D79"/>
    <w:rsid w:val="00907020"/>
    <w:rsid w:val="00907021"/>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1F5F"/>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1E0"/>
    <w:rsid w:val="00951364"/>
    <w:rsid w:val="00951B8B"/>
    <w:rsid w:val="00951CA4"/>
    <w:rsid w:val="009526B5"/>
    <w:rsid w:val="009535FC"/>
    <w:rsid w:val="009537D8"/>
    <w:rsid w:val="00953C42"/>
    <w:rsid w:val="00954213"/>
    <w:rsid w:val="00954362"/>
    <w:rsid w:val="00954F03"/>
    <w:rsid w:val="009550DE"/>
    <w:rsid w:val="00955ACB"/>
    <w:rsid w:val="0095660D"/>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989"/>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B3E"/>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0D08"/>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17180"/>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892"/>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87009"/>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185C"/>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C6C"/>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0F"/>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0AF"/>
    <w:rsid w:val="00DB4C7A"/>
    <w:rsid w:val="00DB4F89"/>
    <w:rsid w:val="00DB5487"/>
    <w:rsid w:val="00DB5B23"/>
    <w:rsid w:val="00DB616C"/>
    <w:rsid w:val="00DB669A"/>
    <w:rsid w:val="00DB7184"/>
    <w:rsid w:val="00DB74FF"/>
    <w:rsid w:val="00DB7667"/>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0F4"/>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B24"/>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922FAD"/>
  <w15:docId w15:val="{18159841-6AA1-4945-9B8F-0703A3026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594"/>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5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rsid w:val="00093CF4"/>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89781392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66429861">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krish\OneDrive%20-%20Qualcomm\Documents\Custom%20Office%20Templates\PropOb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PropObs</Template>
  <TotalTime>46</TotalTime>
  <Pages>4</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Qualcomm</cp:lastModifiedBy>
  <cp:revision>46</cp:revision>
  <cp:lastPrinted>2017-09-12T20:53:00Z</cp:lastPrinted>
  <dcterms:created xsi:type="dcterms:W3CDTF">2024-10-02T05:18:00Z</dcterms:created>
  <dcterms:modified xsi:type="dcterms:W3CDTF">2024-10-03T03:33:00Z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